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erif SC" w:hAnsi="Noto Serif SC" w:eastAsia="Noto Serif SC"/>
          <w:b/>
          <w:color w:val="C9A14A"/>
          <w:sz w:val="72"/>
        </w:rPr>
        <w:t>三星堆与古蜀文明</w:t>
      </w:r>
    </w:p>
    <w:p/>
    <w:p/>
    <w:p/>
    <w:p/>
    <w:p>
      <w:pPr>
        <w:jc w:val="center"/>
      </w:pPr>
      <w:r>
        <w:rPr>
          <w:rFonts w:ascii="Noto Serif SC" w:hAnsi="Noto Serif SC" w:eastAsia="Noto Serif SC"/>
          <w:b/>
          <w:color w:val="6FBF9E"/>
          <w:sz w:val="56"/>
        </w:rPr>
        <w:t>精讲讲义</w:t>
      </w:r>
    </w:p>
    <w:p>
      <w:pPr>
        <w:jc w:val="center"/>
      </w:pPr>
      <w:r>
        <w:rPr>
          <w:rFonts w:ascii="Noto Serif SC" w:hAnsi="Noto Serif SC" w:eastAsia="Noto Serif SC"/>
          <w:b w:val="0"/>
          <w:color w:val="D8CDB4"/>
          <w:sz w:val="28"/>
        </w:rPr>
        <w:t>沉睡三千年 · 一醒惊天下</w:t>
      </w:r>
    </w:p>
    <w:p/>
    <w:p/>
    <w:p/>
    <w:p/>
    <w:p/>
    <w:p/>
    <w:p>
      <w:pPr>
        <w:jc w:val="center"/>
      </w:pPr>
      <w:r>
        <w:rPr>
          <w:rFonts w:ascii="Noto Serif SC" w:hAnsi="Noto Serif SC" w:eastAsia="Noto Serif SC"/>
          <w:b w:val="0"/>
          <w:color w:val="6FBF9E"/>
          <w:sz w:val="24"/>
        </w:rPr>
        <w:t>高校通识课教材</w:t>
        <w:br/>
        <w:t>青铜绿 · 陨铁黑 · 太阳金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40"/>
        </w:rPr>
        <w:t>目 录</w:t>
      </w:r>
    </w:p>
    <w:p/>
    <w:p>
      <w:r>
        <w:rPr>
          <w:rFonts w:ascii="Noto Serif SC" w:hAnsi="Noto Serif SC" w:eastAsia="Noto Serif SC"/>
          <w:b w:val="0"/>
          <w:color w:val="D8CDB4"/>
          <w:sz w:val="24"/>
        </w:rPr>
        <w:t>第壹章  第一章 蚕丛鱼凫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约公元前2500–前1700年 · 宝墩文化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第贰章  第二章 三星堆一号祭祀坑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1986年 · 一号祭祀坑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第叁章  第三章 青铜神树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青铜·通天 · 二号祭祀坑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第肆章  第四章 纵目面具与黄金面罩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神性形象 · 二号祭祀坑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第伍章  第五章 金杖之谜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王权符号 · 一号祭祀坑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第陆章  第六章 金沙遗址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约公元前1200–前650年 · 金沙遗址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第柒章  第七章 巴蜀图语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未解之谜 · 全蜀境</w:t>
      </w:r>
    </w:p>
    <w:p>
      <w:r>
        <w:rPr>
          <w:rFonts w:ascii="Noto Serif SC" w:hAnsi="Noto Serif SC" w:eastAsia="Noto Serif SC"/>
          <w:b w:val="0"/>
          <w:color w:val="D8CDB4"/>
          <w:sz w:val="24"/>
        </w:rPr>
        <w:t>第捌章  第八章 当代考古与数字复原</w:t>
      </w:r>
    </w:p>
    <w:p>
      <w:pPr>
        <w:ind w:left="567"/>
      </w:pPr>
      <w:r>
        <w:rPr>
          <w:rFonts w:ascii="Noto Serif SC" w:hAnsi="Noto Serif SC" w:eastAsia="Noto Serif SC"/>
          <w:b w:val="0"/>
          <w:color w:val="6FBF9E"/>
          <w:sz w:val="20"/>
        </w:rPr>
        <w:t>当代·数字 · 三星堆博物馆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第一章 蚕丛鱼凫——古蜀先民与宝墩文化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【断代与地点】约公元前2500–前1700年 · 宝墩文化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古蜀文明的源头，深藏于成都平原的史前城址之中。宝墩文化以新津宝墩遗址得名，距今约4500至3700年，是长江上游文明的晨曦。先民在河旁台地筑城，种植水稻，制作磨制石器与夹砂陶器，过着定居的农耕生活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文献中的蚕丛、柏灌、鱼凫三代蜀王，从岷山迁徙而下，逐步进入成都平原。蚕丛教民养蚕，鱼凫教民捕鱼——神话与考古在此交叠。宝墩文化的城址群（宝墩、芒城、郫县三道堰、鱼凫村等）勾勒出早期国家雏形：城墙、壕沟与聚落等级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三星堆遗址的早期地层亦属宝墩文化序列，正是这一农耕聚落，日后成长为震古烁今的青铜之都。古蜀并非封闭，而是与中原、长江中游、甘青地区持续交流，为后来的青铜巅峰奠定了根基。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试述宝墩文化对理解古蜀文明起源的意义。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神话中的三代蜀王如何与考古发现对应？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第二章 三星堆一号祭祀坑——惊世发现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【断代与地点】1986年 · 一号祭祀坑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1986年7月，砖厂取土时意外发现的玉器，揭开了三星堆一号祭祀坑的序幕。坑为长方形，约2.6×1.5米，深1.6米，出土青铜器、金器、玉器、陶器、海贝等逾400件，层层叠压，仿佛一场庄严的倾倒与掩埋。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坑中器物多被有意折断、焚烧、分层堆埋：青铜人头像贴壁而立，金杖卷于其上，玉戈玉璋密布，象牙横陈。这种「燎祭瘗埋」式的行为，显示其并非墓葬，而是祭祀礼仪的最终处置——一场盛大的、与神灵的告别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一号坑的发现改写了中国考古史：一个独立于中原、拥有独特神像系统与权力符号的青铜文明，赫然现世。它印证了《蜀王本纪》的传说并非虚妄，古蜀曾是长江上游的另一文明中心。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何谓「燎祭瘗埋」？它与墓葬有何本质区别？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一号祭祀坑的发现如何改变了对中国青铜文明格局的认识？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第三章 青铜神树——通天的宇宙观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【断代与地点】青铜·通天 · 二号祭祀坑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青铜神树通高3.96米，是目前世界上体量最大的单件青铜文物之一。树分三层，每层三枝，枝端各立一铜鸟，共九鸟；树身铸有铜龙蜿蜒而下。其形制直指《山海经》中的「扶桑」「若木」——东方日出之树，太阳金乌所栖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九鸟对应十日神话的变体：本有十日，一日值宿，九日栖树。古蜀人将宇宙观铸入青铜：树为天地之中轴，沟通神与人，鸟为太阳的载体，龙为升天之物。这是一座可触摸的「宇宙模型」。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神树的铸造工艺体现了分铸、套铸、铆接、焊接等多种技法，证明三星堆已具备高度成熟的青铜冶铸体系。它不仅是艺术品，更是古蜀宗教观念的具象——通天、测日、敬神，三位一体。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青铜神树如何体现古蜀人的宇宙观？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九鸟与十日神话有何关联？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第四章 纵目面具与黄金面罩——神性形象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【断代与地点】神性形象 · 二号祭祀坑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纵目面具宽1.38米，眼球呈柱状外凸达16厘米，巨耳如翼，嘴角上扬成神秘微笑。史载蚕丛「其目纵」，面具正是「纵目」信仰的直接物证，是对远视与远听神力的崇拜。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部分面具附贴金面罩——以金箔捶揲覆盖青铜面部。金在古蜀是神性与权力的最高象征，金面使青铜人像在祭祀中「神光焕发」。这种金面青铜的组合在世界青铜文化中独树一帜。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面具的夸张并非失真，而是「神化」：放大感官器官以表达超凡的感知力。古蜀祭祀者戴上面具，便不再是人，而是神在人间的中介。这一形象系统，是理解古蜀宗教的钥匙。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何谓「纵目」？它与蚕丛传说有何联系？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金面罩在古蜀宗教中象征什么？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第五章 金杖之谜——古蜀王权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【断代与地点】王权符号 · 一号祭祀坑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金杖长1.42米，重约500克，以金皮包卷木芯（木芯已朽）。杖身三组纹饰：前端两人头戴冠着袍；其后刻鱼、鸟、箭，箭贯穿鸟首与鱼头，反复出现。这是「鱼凫」王号的图符化解读。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与中原以鼎象征王权不同，古蜀以金杖为权杖。杖不仅是权力象征，更可能是「册命」凭证：金杖上的图案如同契约文书，记录了王号的承袭。它是中国境内罕见的金质权杖。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金杖的出土，确立了古蜀独立于中原鼎簋制度之外的权力表达系统。鱼凫王以杖传国，杖在则王在。这一符号系统，将神话中的鱼凫王朝落到了实物的层面。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比较古蜀金杖与中原鼎在王权象征上的差异。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如何解读金杖上的鱼鸟箭纹饰？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第六章 金沙遗址——古蜀迁都与太阳神鸟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【断代与地点】约公元前1200–前650年 · 金沙遗址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金沙遗址（成都城西）距今约3200至2900年，被视为三星堆文化晚期迁都后的新都。2001年因房产施工偶然发现，出土金器、铜器、玉器、象牙、野猪獠牙数以万计，以「太阳神鸟」金饰最为著名。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太阳神鸟金箔厚仅0.02厘米，外径12.5厘米：中心为十二芒太阳纹，外缘四只神鸟逆时针飞翔。十二芒对应十二月或十二时辰，四鸟对应四季，是一幅黄金版的天文历法图。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金沙显示古蜀在三星堆之后走向「精细化」：大型青铜神像减少，金玉礼器精致化，象牙堆积如山（数吨），并出现与中原、长江中游更密切的交流。太阳崇拜达到顶峰，成为古蜀的精神标识。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金沙遗址如何体现三星堆文化的延续与转变？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解读太阳神鸟金箔的天文历法意义。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第七章 巴蜀图语——未解的文字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【断代与地点】未解之谜 · 全蜀境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在战国至汉初的巴蜀青铜器上，常见一种独特的符号系统——巴蜀图语。它们以「巴蜀图章」形式出现，含手心纹、花蒂纹、水波纹、虎纹、戟纹及人物形象，单枚或多枚组合。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争议核心：它是装饰性图徽，还是表意文字？有学者认为已具原始文字性质，记录巴蜀贵族的族属、封号或誓约；但因无长篇成文，尚未完全破译，与东巴文、尔苏文并称「西南未释文字」。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三星堆器物本身无文字，但金沙与战国巴蜀器物的图语，可能承袭了更早的符号传统。古蜀是否有自己的文字，至今仍是考古学最具魅力的悬案之一——沉默的金面背后，或许藏着未被听见的语言。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巴蜀图语是文字还是图徽？各派观点如何？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如何理解三星堆器物无文字现象？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r>
        <w:rPr>
          <w:rFonts w:ascii="Noto Serif SC" w:hAnsi="Noto Serif SC" w:eastAsia="Noto Serif SC"/>
          <w:b/>
          <w:color w:val="C9A14A"/>
          <w:sz w:val="36"/>
        </w:rPr>
        <w:t>第八章 当代考古与数字复原</w:t>
      </w:r>
    </w:p>
    <w:p>
      <w:r>
        <w:rPr>
          <w:rFonts w:ascii="Noto Serif SC" w:hAnsi="Noto Serif SC" w:eastAsia="Noto Serif SC"/>
          <w:b w:val="0"/>
          <w:color w:val="6FBF9E"/>
          <w:sz w:val="22"/>
        </w:rPr>
        <w:t>【断代与地点】当代·数字 · 三星堆博物馆</w:t>
      </w:r>
    </w:p>
    <w:p/>
    <w:p>
      <w:r>
        <w:rPr>
          <w:rFonts w:ascii="Noto Serif SC" w:hAnsi="Noto Serif SC" w:eastAsia="Noto Serif SC"/>
          <w:b/>
          <w:color w:val="C9A14A"/>
          <w:sz w:val="26"/>
        </w:rPr>
        <w:t>【知识讲解】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2019年起，三星堆新发现的3至8号祭祀坑陆续发掘，引入「方舱考古」、多光谱扫描、3D建模、AI拼对等数字手段。出土的青铜神坛、金面具残片、青铜扭头跪人像，又一次震撼世界。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数字复原将散落的器物碎片重新聚合：通过三维扫描建立文物数字孪生，用算法推演缺失部分，虚拟还原祭祀场景。原本散落全球的器物，得以在数字空间中「合体」展出。</w:t>
      </w:r>
    </w:p>
    <w:p>
      <w:pPr>
        <w:spacing w:line="432" w:lineRule="auto"/>
        <w:ind w:firstLine="454"/>
      </w:pPr>
      <w:r>
        <w:rPr>
          <w:rFonts w:ascii="Noto Serif SC" w:hAnsi="Noto Serif SC" w:eastAsia="Noto Serif SC"/>
          <w:b w:val="0"/>
          <w:color w:val="D8CDB4"/>
          <w:sz w:val="23"/>
        </w:rPr>
        <w:t>这门课程本身，即是数字人文的实践：AI文生图重建青铜神树的想象图景，文生音乐复原祭祀鼓点，文生语音让讲解员「开口」。古蜀文明在数字时代获得了第二次生命。</w:t>
      </w:r>
    </w:p>
    <w:p>
      <w:pPr>
        <w:spacing w:before="240"/>
      </w:pPr>
      <w:r>
        <w:rPr>
          <w:rFonts w:ascii="Noto Serif SC" w:hAnsi="Noto Serif SC" w:eastAsia="Noto Serif SC"/>
          <w:b/>
          <w:color w:val="C9A14A"/>
          <w:sz w:val="26"/>
        </w:rPr>
        <w:t>【思考题】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新坑发掘引入了哪些数字考古技术？</w:t>
      </w:r>
    </w:p>
    <w:p>
      <w:pPr>
        <w:pStyle w:val="ListNumber"/>
        <w:spacing w:line="384" w:lineRule="auto"/>
      </w:pPr>
      <w:r>
        <w:rPr>
          <w:rFonts w:ascii="Noto Serif SC" w:hAnsi="Noto Serif SC" w:eastAsia="Noto Serif SC"/>
          <w:b w:val="0"/>
          <w:color w:val="D8CDB4"/>
          <w:sz w:val="22"/>
        </w:rPr>
        <w:t>数字复原对文物保护与展示有何意义？</w:t>
      </w:r>
    </w:p>
    <w:p>
      <w:pPr>
        <w:spacing w:before="240"/>
      </w:pPr>
      <w:r>
        <w:rPr>
          <w:rFonts w:ascii="Noto Serif SC" w:hAnsi="Noto Serif SC" w:eastAsia="Noto Serif SC"/>
          <w:b/>
          <w:color w:val="6FBF9E"/>
          <w:sz w:val="22"/>
        </w:rPr>
        <w:t>【延伸阅读】</w:t>
      </w:r>
      <w:r>
        <w:rPr>
          <w:rFonts w:ascii="Noto Serif SC" w:hAnsi="Noto Serif SC" w:eastAsia="Noto Serif SC"/>
          <w:b w:val="0"/>
          <w:color w:val="D8CDB4"/>
          <w:sz w:val="20"/>
        </w:rPr>
        <w:t xml:space="preserve">  四川省文物考古研究院《三星堆祭祀坑》；金沙遗址博物馆《金沙》</w:t>
      </w:r>
    </w:p>
    <w:p>
      <w:r>
        <w:br w:type="page"/>
      </w:r>
    </w:p>
    <w:p>
      <w:pPr>
        <w:jc w:val="center"/>
      </w:pPr>
      <w:r>
        <w:rPr>
          <w:rFonts w:ascii="Noto Serif SC" w:hAnsi="Noto Serif SC" w:eastAsia="Noto Serif SC"/>
          <w:b w:val="0"/>
          <w:color w:val="C9A14A"/>
          <w:sz w:val="28"/>
        </w:rPr>
        <w:t>— 全卷终 —</w:t>
      </w:r>
    </w:p>
    <w:p>
      <w:pPr>
        <w:jc w:val="center"/>
      </w:pPr>
      <w:r>
        <w:rPr>
          <w:rFonts w:ascii="Noto Serif SC" w:hAnsi="Noto Serif SC" w:eastAsia="Noto Serif SC"/>
          <w:b w:val="0"/>
          <w:color w:val="6FBF9E"/>
          <w:sz w:val="20"/>
        </w:rPr>
        <w:t>配合数字课程门户使用，门户含祭祀坑空间、文物长廊与古蜀祭司讲解员。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>古蜀数字课程 · 通识教育示范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Noto Serif SC" w:hAnsi="Noto Serif SC" w:eastAsia="Noto Serif SC"/>
        <w:b w:val="0"/>
        <w:color w:val="6FBF9E"/>
        <w:sz w:val="18"/>
      </w:rPr>
      <w:t>三星堆与古蜀文明 · 精讲讲义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